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41DC" w14:textId="28155F93" w:rsidR="00F47188" w:rsidRPr="00F47188" w:rsidRDefault="00F959FC" w:rsidP="00F47188">
      <w:pPr>
        <w:spacing w:after="240"/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inline distT="0" distB="0" distL="0" distR="0" wp14:anchorId="77D9109E" wp14:editId="5D5F8804">
            <wp:extent cx="5759450" cy="1939290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D77B" w14:textId="65A0BF3B" w:rsidR="00AC5C8C" w:rsidRPr="00F47188" w:rsidRDefault="00566BD2" w:rsidP="00F47188">
      <w:pPr>
        <w:spacing w:after="240"/>
        <w:rPr>
          <w:rFonts w:ascii="Gill Sans MT" w:hAnsi="Gill Sans MT"/>
          <w:b/>
          <w:bCs/>
          <w:sz w:val="32"/>
          <w:szCs w:val="32"/>
        </w:rPr>
      </w:pPr>
      <w:r w:rsidRPr="00F47188">
        <w:rPr>
          <w:rFonts w:ascii="Gill Sans MT" w:hAnsi="Gill Sans MT"/>
          <w:b/>
          <w:bCs/>
          <w:sz w:val="32"/>
          <w:szCs w:val="32"/>
        </w:rPr>
        <w:t>Universal Provision Checklist:</w:t>
      </w:r>
      <w:bookmarkStart w:id="0" w:name="_Social,_emotional_&amp;"/>
      <w:bookmarkStart w:id="1" w:name="social"/>
      <w:bookmarkEnd w:id="0"/>
      <w:r w:rsidRPr="00F47188">
        <w:rPr>
          <w:rFonts w:ascii="Gill Sans MT" w:hAnsi="Gill Sans MT"/>
          <w:b/>
          <w:bCs/>
          <w:sz w:val="32"/>
          <w:szCs w:val="32"/>
        </w:rPr>
        <w:t xml:space="preserve"> Social, Emotional &amp; Mental Health</w:t>
      </w:r>
      <w:bookmarkEnd w:id="1"/>
    </w:p>
    <w:p w14:paraId="1B507EFB" w14:textId="78B8AD11" w:rsidR="00AC5C8C" w:rsidRPr="00F47188" w:rsidRDefault="00AC5C8C" w:rsidP="00F47188">
      <w:pPr>
        <w:spacing w:after="240" w:line="240" w:lineRule="auto"/>
        <w:rPr>
          <w:rFonts w:ascii="Gill Sans MT" w:hAnsi="Gill Sans MT" w:cs="Calibri"/>
          <w:sz w:val="24"/>
          <w:szCs w:val="24"/>
        </w:rPr>
      </w:pPr>
      <w:r w:rsidRPr="00F47188">
        <w:rPr>
          <w:rFonts w:ascii="Gill Sans MT" w:hAnsi="Gill Sans MT" w:cs="Calibri"/>
          <w:sz w:val="24"/>
          <w:szCs w:val="24"/>
        </w:rPr>
        <w:t xml:space="preserve">Once desired outcomes have been set the universal provision checklist section should be used as a starting point. The checklist has been designed to be used as an audit tool for school practice, so that staff can check they are providing </w:t>
      </w:r>
      <w:proofErr w:type="gramStart"/>
      <w:r w:rsidRPr="00F47188">
        <w:rPr>
          <w:rFonts w:ascii="Gill Sans MT" w:hAnsi="Gill Sans MT" w:cs="Calibri"/>
          <w:sz w:val="24"/>
          <w:szCs w:val="24"/>
        </w:rPr>
        <w:t>appropriate</w:t>
      </w:r>
      <w:proofErr w:type="gramEnd"/>
      <w:r w:rsidRPr="00F47188">
        <w:rPr>
          <w:rFonts w:ascii="Gill Sans MT" w:hAnsi="Gill Sans MT" w:cs="Calibri"/>
          <w:sz w:val="24"/>
          <w:szCs w:val="24"/>
        </w:rPr>
        <w:t xml:space="preserve"> and purposeful support for pupils at </w:t>
      </w:r>
      <w:r w:rsidR="00614EE2">
        <w:rPr>
          <w:rFonts w:ascii="Gill Sans MT" w:hAnsi="Gill Sans MT" w:cs="Calibri"/>
          <w:sz w:val="24"/>
          <w:szCs w:val="24"/>
        </w:rPr>
        <w:t xml:space="preserve">a </w:t>
      </w:r>
      <w:r w:rsidRPr="00F47188">
        <w:rPr>
          <w:rFonts w:ascii="Gill Sans MT" w:hAnsi="Gill Sans MT" w:cs="Calibri"/>
          <w:sz w:val="24"/>
          <w:szCs w:val="24"/>
        </w:rPr>
        <w:t>universal level</w:t>
      </w:r>
      <w:r w:rsidR="00F47188">
        <w:rPr>
          <w:rFonts w:ascii="Gill Sans MT" w:hAnsi="Gill Sans MT" w:cs="Calibri"/>
          <w:sz w:val="24"/>
          <w:szCs w:val="24"/>
        </w:rPr>
        <w:t>.</w:t>
      </w:r>
    </w:p>
    <w:p w14:paraId="550D687F" w14:textId="6F8D4B3A" w:rsidR="00AC5C8C" w:rsidRPr="00F47188" w:rsidRDefault="00AC5C8C" w:rsidP="00F47188">
      <w:pPr>
        <w:autoSpaceDE w:val="0"/>
        <w:autoSpaceDN w:val="0"/>
        <w:adjustRightInd w:val="0"/>
        <w:spacing w:after="240" w:line="240" w:lineRule="auto"/>
        <w:rPr>
          <w:rFonts w:ascii="Gill Sans MT" w:hAnsi="Gill Sans MT" w:cs="Calibri"/>
          <w:sz w:val="24"/>
          <w:szCs w:val="24"/>
        </w:rPr>
      </w:pPr>
      <w:r w:rsidRPr="00F47188">
        <w:rPr>
          <w:rFonts w:ascii="Gill Sans MT" w:hAnsi="Gill Sans MT" w:cs="Calibri"/>
          <w:sz w:val="24"/>
          <w:szCs w:val="24"/>
        </w:rPr>
        <w:t xml:space="preserve">Assessment, planning and provision for a pupil with social, emotional and mental health needs should be </w:t>
      </w:r>
      <w:proofErr w:type="gramStart"/>
      <w:r w:rsidRPr="00F47188">
        <w:rPr>
          <w:rFonts w:ascii="Gill Sans MT" w:hAnsi="Gill Sans MT" w:cs="Calibri"/>
          <w:sz w:val="24"/>
          <w:szCs w:val="24"/>
        </w:rPr>
        <w:t>located</w:t>
      </w:r>
      <w:proofErr w:type="gramEnd"/>
      <w:r w:rsidRPr="00F47188">
        <w:rPr>
          <w:rFonts w:ascii="Gill Sans MT" w:hAnsi="Gill Sans MT" w:cs="Calibri"/>
          <w:sz w:val="24"/>
          <w:szCs w:val="24"/>
        </w:rPr>
        <w:t xml:space="preserve"> within a whole school approach that promotes emotional health and wellbeing and includes an actively supported and consistent whole school behaviour recovery policy. This is underpinned by principles of person</w:t>
      </w:r>
      <w:r w:rsidR="00614EE2">
        <w:rPr>
          <w:rFonts w:ascii="Gill Sans MT" w:hAnsi="Gill Sans MT" w:cs="Calibri"/>
          <w:sz w:val="24"/>
          <w:szCs w:val="24"/>
        </w:rPr>
        <w:t>-</w:t>
      </w:r>
      <w:r w:rsidRPr="00F47188">
        <w:rPr>
          <w:rFonts w:ascii="Gill Sans MT" w:hAnsi="Gill Sans MT" w:cs="Calibri"/>
          <w:sz w:val="24"/>
          <w:szCs w:val="24"/>
        </w:rPr>
        <w:t>centred planning to ensure active positive involvement of pupils</w:t>
      </w:r>
      <w:r w:rsidR="00F47188">
        <w:rPr>
          <w:rFonts w:ascii="Gill Sans MT" w:hAnsi="Gill Sans MT" w:cs="Calibri"/>
          <w:sz w:val="24"/>
          <w:szCs w:val="24"/>
        </w:rPr>
        <w:t>.</w:t>
      </w:r>
    </w:p>
    <w:p w14:paraId="795B8C62" w14:textId="1A8BD321" w:rsidR="00AC5C8C" w:rsidRPr="00F47188" w:rsidRDefault="00AC5C8C" w:rsidP="00F47188">
      <w:pPr>
        <w:autoSpaceDE w:val="0"/>
        <w:autoSpaceDN w:val="0"/>
        <w:adjustRightInd w:val="0"/>
        <w:spacing w:after="240" w:line="240" w:lineRule="auto"/>
        <w:rPr>
          <w:rFonts w:ascii="Gill Sans MT" w:hAnsi="Gill Sans MT" w:cs="Calibri"/>
          <w:sz w:val="24"/>
          <w:szCs w:val="24"/>
        </w:rPr>
      </w:pPr>
      <w:r w:rsidRPr="00F47188">
        <w:rPr>
          <w:rFonts w:ascii="Gill Sans MT" w:hAnsi="Gill Sans MT" w:cs="Calibri"/>
          <w:sz w:val="24"/>
          <w:szCs w:val="24"/>
        </w:rPr>
        <w:t>As part of the graduated response to provision for SEMH</w:t>
      </w:r>
      <w:r w:rsidR="00614EE2">
        <w:rPr>
          <w:rFonts w:ascii="Gill Sans MT" w:hAnsi="Gill Sans MT" w:cs="Calibri"/>
          <w:sz w:val="24"/>
          <w:szCs w:val="24"/>
        </w:rPr>
        <w:t>,</w:t>
      </w:r>
      <w:r w:rsidRPr="00F47188">
        <w:rPr>
          <w:rFonts w:ascii="Gill Sans MT" w:hAnsi="Gill Sans MT" w:cs="Calibri"/>
          <w:sz w:val="24"/>
          <w:szCs w:val="24"/>
        </w:rPr>
        <w:t xml:space="preserve"> a multiagency approach is adopted to </w:t>
      </w:r>
      <w:proofErr w:type="gramStart"/>
      <w:r w:rsidRPr="00F47188">
        <w:rPr>
          <w:rFonts w:ascii="Gill Sans MT" w:hAnsi="Gill Sans MT" w:cs="Calibri"/>
          <w:sz w:val="24"/>
          <w:szCs w:val="24"/>
        </w:rPr>
        <w:t>work</w:t>
      </w:r>
      <w:proofErr w:type="gramEnd"/>
      <w:r w:rsidRPr="00F47188">
        <w:rPr>
          <w:rFonts w:ascii="Gill Sans MT" w:hAnsi="Gill Sans MT" w:cs="Calibri"/>
          <w:sz w:val="24"/>
          <w:szCs w:val="24"/>
        </w:rPr>
        <w:t xml:space="preserve"> with school staff, pupils, parents and carers. This includes integrated services from SEND Inclusion Health and Wellbeing as well as Early Help provision</w:t>
      </w:r>
      <w:r w:rsidR="00F47188">
        <w:rPr>
          <w:rFonts w:ascii="Gill Sans MT" w:hAnsi="Gill Sans MT" w:cs="Calibri"/>
          <w:sz w:val="24"/>
          <w:szCs w:val="24"/>
        </w:rPr>
        <w:t>.</w:t>
      </w:r>
    </w:p>
    <w:p w14:paraId="48257853" w14:textId="59E891DF" w:rsidR="00AC5C8C" w:rsidRPr="00F47188" w:rsidRDefault="00AC5C8C" w:rsidP="00F47188">
      <w:pPr>
        <w:spacing w:after="240" w:line="240" w:lineRule="auto"/>
        <w:rPr>
          <w:rFonts w:ascii="Gill Sans MT" w:hAnsi="Gill Sans MT" w:cs="Calibri"/>
          <w:sz w:val="24"/>
          <w:szCs w:val="24"/>
        </w:rPr>
      </w:pPr>
      <w:r w:rsidRPr="00F47188">
        <w:rPr>
          <w:rFonts w:ascii="Gill Sans MT" w:hAnsi="Gill Sans MT" w:cs="Calibri"/>
          <w:sz w:val="24"/>
          <w:szCs w:val="24"/>
        </w:rPr>
        <w:t>Universal provision for SEMH allows a focus on pupils who have social</w:t>
      </w:r>
      <w:r w:rsidR="00614EE2">
        <w:rPr>
          <w:rFonts w:ascii="Gill Sans MT" w:hAnsi="Gill Sans MT" w:cs="Calibri"/>
          <w:sz w:val="24"/>
          <w:szCs w:val="24"/>
        </w:rPr>
        <w:t>-</w:t>
      </w:r>
      <w:r w:rsidRPr="00F47188">
        <w:rPr>
          <w:rFonts w:ascii="Gill Sans MT" w:hAnsi="Gill Sans MT" w:cs="Calibri"/>
          <w:sz w:val="24"/>
          <w:szCs w:val="24"/>
        </w:rPr>
        <w:t xml:space="preserve">emotional or mental health issues which sometimes interfere with their learning or that of the class group. The pupil’s needs may be </w:t>
      </w:r>
      <w:proofErr w:type="gramStart"/>
      <w:r w:rsidRPr="00F47188">
        <w:rPr>
          <w:rFonts w:ascii="Gill Sans MT" w:hAnsi="Gill Sans MT" w:cs="Calibri"/>
          <w:sz w:val="24"/>
          <w:szCs w:val="24"/>
        </w:rPr>
        <w:t>evident</w:t>
      </w:r>
      <w:proofErr w:type="gramEnd"/>
      <w:r w:rsidRPr="00F47188">
        <w:rPr>
          <w:rFonts w:ascii="Gill Sans MT" w:hAnsi="Gill Sans MT" w:cs="Calibri"/>
          <w:sz w:val="24"/>
          <w:szCs w:val="24"/>
        </w:rPr>
        <w:t xml:space="preserve"> in some contexts but not in others</w:t>
      </w:r>
      <w:r w:rsidR="00F47188">
        <w:rPr>
          <w:rFonts w:ascii="Gill Sans MT" w:hAnsi="Gill Sans MT" w:cs="Calibri"/>
          <w:sz w:val="24"/>
          <w:szCs w:val="24"/>
        </w:rPr>
        <w:t>.</w:t>
      </w:r>
    </w:p>
    <w:p w14:paraId="08B7BBEB" w14:textId="4BAEEB0E" w:rsidR="00AC5C8C" w:rsidRPr="00F47188" w:rsidRDefault="00AC5C8C" w:rsidP="00F47188">
      <w:pPr>
        <w:autoSpaceDE w:val="0"/>
        <w:autoSpaceDN w:val="0"/>
        <w:adjustRightInd w:val="0"/>
        <w:spacing w:after="240" w:line="240" w:lineRule="auto"/>
        <w:rPr>
          <w:rFonts w:ascii="Gill Sans MT" w:hAnsi="Gill Sans MT"/>
          <w:sz w:val="24"/>
          <w:szCs w:val="24"/>
        </w:rPr>
      </w:pPr>
      <w:r w:rsidRPr="00F47188">
        <w:rPr>
          <w:rFonts w:ascii="Gill Sans MT" w:hAnsi="Gill Sans MT" w:cs="Calibri"/>
          <w:sz w:val="24"/>
          <w:szCs w:val="24"/>
        </w:rPr>
        <w:t>If a pupil has experienced more than four Adverse Childhood Experiences (see Appendix 1), consideration should be given to meeting their needs at a targeted level. Similarly, pupils with SEMH difficulties should be considered for targeted provision at transition</w:t>
      </w:r>
      <w:r w:rsidR="00F47188">
        <w:rPr>
          <w:rFonts w:ascii="Gill Sans MT" w:hAnsi="Gill Sans MT" w:cs="Calibr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42"/>
      </w:tblGrid>
      <w:tr w:rsidR="00AC5C8C" w:rsidRPr="00F47188" w14:paraId="0D928E6A" w14:textId="77777777" w:rsidTr="00AC5C8C">
        <w:tc>
          <w:tcPr>
            <w:tcW w:w="8500" w:type="dxa"/>
            <w:shd w:val="clear" w:color="auto" w:fill="548DD4" w:themeFill="text2" w:themeFillTint="99"/>
          </w:tcPr>
          <w:p w14:paraId="0BB0DBC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47188">
              <w:rPr>
                <w:rFonts w:ascii="Gill Sans MT" w:hAnsi="Gill Sans MT"/>
                <w:b/>
                <w:sz w:val="24"/>
                <w:szCs w:val="24"/>
              </w:rPr>
              <w:t>Social development</w:t>
            </w:r>
          </w:p>
        </w:tc>
        <w:tc>
          <w:tcPr>
            <w:tcW w:w="742" w:type="dxa"/>
            <w:shd w:val="clear" w:color="auto" w:fill="548DD4" w:themeFill="text2" w:themeFillTint="99"/>
          </w:tcPr>
          <w:p w14:paraId="1AECE825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AC5C8C" w:rsidRPr="00F47188" w14:paraId="14F1CA78" w14:textId="77777777" w:rsidTr="00AC5C8C">
        <w:tc>
          <w:tcPr>
            <w:tcW w:w="8500" w:type="dxa"/>
            <w:shd w:val="clear" w:color="auto" w:fill="FFFFFF" w:themeFill="background1"/>
          </w:tcPr>
          <w:p w14:paraId="4A6E2A1C" w14:textId="4A310B3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specific strategies used to teach social understanding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social stories, work schedules, </w:t>
            </w:r>
            <w:r w:rsidR="00614EE2">
              <w:rPr>
                <w:rFonts w:ascii="Gill Sans MT" w:hAnsi="Gill Sans MT"/>
                <w:sz w:val="24"/>
                <w:szCs w:val="24"/>
              </w:rPr>
              <w:t xml:space="preserve">and </w:t>
            </w:r>
            <w:r w:rsidRPr="00F47188">
              <w:rPr>
                <w:rFonts w:ascii="Gill Sans MT" w:hAnsi="Gill Sans MT"/>
                <w:sz w:val="24"/>
                <w:szCs w:val="24"/>
              </w:rPr>
              <w:t>emotional thermometers?</w:t>
            </w:r>
          </w:p>
        </w:tc>
        <w:tc>
          <w:tcPr>
            <w:tcW w:w="742" w:type="dxa"/>
            <w:shd w:val="clear" w:color="auto" w:fill="FFFFFF" w:themeFill="background1"/>
          </w:tcPr>
          <w:p w14:paraId="7F525773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7CF334A3" w14:textId="77777777" w:rsidTr="00AC5C8C">
        <w:tc>
          <w:tcPr>
            <w:tcW w:w="8500" w:type="dxa"/>
            <w:shd w:val="clear" w:color="auto" w:fill="FFFFFF" w:themeFill="background1"/>
          </w:tcPr>
          <w:p w14:paraId="1AF12275" w14:textId="3C8FF718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</w:t>
            </w:r>
            <w:proofErr w:type="gramStart"/>
            <w:r w:rsidRPr="00F47188">
              <w:rPr>
                <w:rFonts w:ascii="Gill Sans MT" w:hAnsi="Gill Sans MT"/>
                <w:sz w:val="24"/>
                <w:szCs w:val="24"/>
              </w:rPr>
              <w:t>appropriate</w:t>
            </w:r>
            <w:proofErr w:type="gramEnd"/>
            <w:r w:rsidRPr="00F47188">
              <w:rPr>
                <w:rFonts w:ascii="Gill Sans MT" w:hAnsi="Gill Sans MT"/>
                <w:sz w:val="24"/>
                <w:szCs w:val="24"/>
              </w:rPr>
              <w:t xml:space="preserve"> and (individualised)? Programmes</w:t>
            </w:r>
            <w:r w:rsidR="00614EE2">
              <w:rPr>
                <w:rFonts w:ascii="Gill Sans MT" w:hAnsi="Gill Sans MT"/>
                <w:sz w:val="24"/>
                <w:szCs w:val="24"/>
              </w:rPr>
              <w:t>/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interventions used to teach and develop social interaction skills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Circle of Friends?</w:t>
            </w:r>
          </w:p>
        </w:tc>
        <w:tc>
          <w:tcPr>
            <w:tcW w:w="742" w:type="dxa"/>
            <w:shd w:val="clear" w:color="auto" w:fill="FFFFFF" w:themeFill="background1"/>
          </w:tcPr>
          <w:p w14:paraId="2FC39335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1FFA9CF7" w14:textId="77777777" w:rsidTr="00AC5C8C">
        <w:tc>
          <w:tcPr>
            <w:tcW w:w="8500" w:type="dxa"/>
            <w:shd w:val="clear" w:color="auto" w:fill="FFFFFF" w:themeFill="background1"/>
          </w:tcPr>
          <w:p w14:paraId="19374FFF" w14:textId="2CAF4652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explicit activities used to develop relationships, emotions, social skills, self-confidence and self-esteem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SEAL?</w:t>
            </w:r>
          </w:p>
        </w:tc>
        <w:tc>
          <w:tcPr>
            <w:tcW w:w="742" w:type="dxa"/>
            <w:shd w:val="clear" w:color="auto" w:fill="FFFFFF" w:themeFill="background1"/>
          </w:tcPr>
          <w:p w14:paraId="7A04A9FF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540CC5C5" w14:textId="77777777" w:rsidTr="00AC5C8C">
        <w:tc>
          <w:tcPr>
            <w:tcW w:w="8500" w:type="dxa"/>
            <w:shd w:val="clear" w:color="auto" w:fill="FFFFFF" w:themeFill="background1"/>
          </w:tcPr>
          <w:p w14:paraId="6C6476F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lastRenderedPageBreak/>
              <w:t>Are basic techniques for emotional regulation, including managing the effects of anger including anger management, taught and supported?</w:t>
            </w:r>
          </w:p>
        </w:tc>
        <w:tc>
          <w:tcPr>
            <w:tcW w:w="742" w:type="dxa"/>
            <w:shd w:val="clear" w:color="auto" w:fill="FFFFFF" w:themeFill="background1"/>
          </w:tcPr>
          <w:p w14:paraId="653597C8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023A58C8" w14:textId="77777777" w:rsidTr="00AC5C8C">
        <w:tc>
          <w:tcPr>
            <w:tcW w:w="8500" w:type="dxa"/>
            <w:shd w:val="clear" w:color="auto" w:fill="FFFFFF" w:themeFill="background1"/>
          </w:tcPr>
          <w:p w14:paraId="090C08E9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Are rules reinforced using visual prompts where helpful?</w:t>
            </w:r>
          </w:p>
        </w:tc>
        <w:tc>
          <w:tcPr>
            <w:tcW w:w="742" w:type="dxa"/>
            <w:shd w:val="clear" w:color="auto" w:fill="FFFFFF" w:themeFill="background1"/>
          </w:tcPr>
          <w:p w14:paraId="2DBE8D2A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B4572B2" w14:textId="77777777" w:rsidTr="00AC5C8C">
        <w:tc>
          <w:tcPr>
            <w:tcW w:w="8500" w:type="dxa"/>
            <w:shd w:val="clear" w:color="auto" w:fill="FFFFFF" w:themeFill="background1"/>
          </w:tcPr>
          <w:p w14:paraId="136C9FF0" w14:textId="6462E38E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Has baseline assessment been completed to build a clear profile of the pupil’s strengths and needs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through structured observation, and/or completion of qualitative screening tools such as MALS (Myself as a learner scale)?</w:t>
            </w:r>
          </w:p>
        </w:tc>
        <w:tc>
          <w:tcPr>
            <w:tcW w:w="742" w:type="dxa"/>
            <w:shd w:val="clear" w:color="auto" w:fill="FFFFFF" w:themeFill="background1"/>
          </w:tcPr>
          <w:p w14:paraId="49408545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70BA6BF8" w14:textId="77777777" w:rsidTr="00AC5C8C">
        <w:tc>
          <w:tcPr>
            <w:tcW w:w="8500" w:type="dxa"/>
            <w:shd w:val="clear" w:color="auto" w:fill="FFFFFF" w:themeFill="background1"/>
          </w:tcPr>
          <w:p w14:paraId="424DED35" w14:textId="7A071C8C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Are there structured routine</w:t>
            </w:r>
            <w:r w:rsidR="00614EE2">
              <w:rPr>
                <w:rFonts w:ascii="Gill Sans MT" w:hAnsi="Gill Sans MT"/>
                <w:sz w:val="24"/>
                <w:szCs w:val="24"/>
              </w:rPr>
              <w:t>s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and clear guidelines in place?</w:t>
            </w:r>
          </w:p>
        </w:tc>
        <w:tc>
          <w:tcPr>
            <w:tcW w:w="742" w:type="dxa"/>
            <w:shd w:val="clear" w:color="auto" w:fill="FFFFFF" w:themeFill="background1"/>
          </w:tcPr>
          <w:p w14:paraId="4291DC3A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33CD88C" w14:textId="77777777" w:rsidTr="00AC5C8C">
        <w:tc>
          <w:tcPr>
            <w:tcW w:w="8500" w:type="dxa"/>
            <w:shd w:val="clear" w:color="auto" w:fill="FFFFFF" w:themeFill="background1"/>
          </w:tcPr>
          <w:p w14:paraId="3ACCED33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Is there a clear whole school/setting behaviour recovery policy which is consistently applied?</w:t>
            </w:r>
          </w:p>
        </w:tc>
        <w:tc>
          <w:tcPr>
            <w:tcW w:w="742" w:type="dxa"/>
            <w:shd w:val="clear" w:color="auto" w:fill="FFFFFF" w:themeFill="background1"/>
          </w:tcPr>
          <w:p w14:paraId="62B48AC7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1A7D36C0" w14:textId="77777777" w:rsidTr="00AC5C8C">
        <w:tc>
          <w:tcPr>
            <w:tcW w:w="8500" w:type="dxa"/>
            <w:shd w:val="clear" w:color="auto" w:fill="FFFFFF" w:themeFill="background1"/>
          </w:tcPr>
          <w:p w14:paraId="104C4E0D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Does the school have a consistent approach when using rewards and sanctions?</w:t>
            </w:r>
          </w:p>
          <w:p w14:paraId="5A5AFE5F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(This may include flexibility for the particular circumstances of some pupils)</w:t>
            </w:r>
          </w:p>
        </w:tc>
        <w:tc>
          <w:tcPr>
            <w:tcW w:w="742" w:type="dxa"/>
            <w:shd w:val="clear" w:color="auto" w:fill="FFFFFF" w:themeFill="background1"/>
          </w:tcPr>
          <w:p w14:paraId="6FDD5E72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2994C4A" w14:textId="77777777" w:rsidTr="00AC5C8C">
        <w:tc>
          <w:tcPr>
            <w:tcW w:w="8500" w:type="dxa"/>
            <w:shd w:val="clear" w:color="auto" w:fill="FFFFFF" w:themeFill="background1"/>
          </w:tcPr>
          <w:p w14:paraId="50AA16A0" w14:textId="7DDF15F9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Is there a range of opportunities for social and emotional development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buddy systems, friendship strategies, </w:t>
            </w:r>
            <w:r w:rsidR="00614EE2">
              <w:rPr>
                <w:rFonts w:ascii="Gill Sans MT" w:hAnsi="Gill Sans MT"/>
                <w:sz w:val="24"/>
                <w:szCs w:val="24"/>
              </w:rPr>
              <w:t xml:space="preserve">and </w:t>
            </w:r>
            <w:r w:rsidRPr="00F47188">
              <w:rPr>
                <w:rFonts w:ascii="Gill Sans MT" w:hAnsi="Gill Sans MT"/>
                <w:sz w:val="24"/>
                <w:szCs w:val="24"/>
              </w:rPr>
              <w:t>circle time?</w:t>
            </w:r>
          </w:p>
        </w:tc>
        <w:tc>
          <w:tcPr>
            <w:tcW w:w="742" w:type="dxa"/>
            <w:shd w:val="clear" w:color="auto" w:fill="FFFFFF" w:themeFill="background1"/>
          </w:tcPr>
          <w:p w14:paraId="2832DEC7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41BF673" w14:textId="77777777" w:rsidTr="00AC5C8C">
        <w:tc>
          <w:tcPr>
            <w:tcW w:w="8500" w:type="dxa"/>
            <w:shd w:val="clear" w:color="auto" w:fill="FFFFFF" w:themeFill="background1"/>
          </w:tcPr>
          <w:p w14:paraId="0E107E1D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 all pupils have access to peer mediation?</w:t>
            </w:r>
          </w:p>
        </w:tc>
        <w:tc>
          <w:tcPr>
            <w:tcW w:w="742" w:type="dxa"/>
            <w:shd w:val="clear" w:color="auto" w:fill="FFFFFF" w:themeFill="background1"/>
          </w:tcPr>
          <w:p w14:paraId="29C2E019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02DF2186" w14:textId="77777777" w:rsidTr="00AC5C8C">
        <w:tc>
          <w:tcPr>
            <w:tcW w:w="8500" w:type="dxa"/>
            <w:shd w:val="clear" w:color="auto" w:fill="FFFFFF" w:themeFill="background1"/>
          </w:tcPr>
          <w:p w14:paraId="2FCA6BAD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seating plans </w:t>
            </w:r>
            <w:proofErr w:type="gramStart"/>
            <w:r w:rsidRPr="00F47188">
              <w:rPr>
                <w:rFonts w:ascii="Gill Sans MT" w:hAnsi="Gill Sans MT"/>
                <w:sz w:val="24"/>
                <w:szCs w:val="24"/>
              </w:rPr>
              <w:t>utilised</w:t>
            </w:r>
            <w:proofErr w:type="gramEnd"/>
            <w:r w:rsidRPr="00F47188">
              <w:rPr>
                <w:rFonts w:ascii="Gill Sans MT" w:hAnsi="Gill Sans MT"/>
                <w:sz w:val="24"/>
                <w:szCs w:val="24"/>
              </w:rPr>
              <w:t xml:space="preserve"> effectively?</w:t>
            </w:r>
          </w:p>
        </w:tc>
        <w:tc>
          <w:tcPr>
            <w:tcW w:w="742" w:type="dxa"/>
            <w:shd w:val="clear" w:color="auto" w:fill="FFFFFF" w:themeFill="background1"/>
          </w:tcPr>
          <w:p w14:paraId="039193C8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01BD6934" w14:textId="77777777" w:rsidTr="00AC5C8C">
        <w:tc>
          <w:tcPr>
            <w:tcW w:w="8500" w:type="dxa"/>
            <w:shd w:val="clear" w:color="auto" w:fill="FFFFFF" w:themeFill="background1"/>
          </w:tcPr>
          <w:p w14:paraId="4515B831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Are positive intervention strategies in place?</w:t>
            </w:r>
          </w:p>
        </w:tc>
        <w:tc>
          <w:tcPr>
            <w:tcW w:w="742" w:type="dxa"/>
            <w:shd w:val="clear" w:color="auto" w:fill="FFFFFF" w:themeFill="background1"/>
          </w:tcPr>
          <w:p w14:paraId="6D481794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6E2C535D" w14:textId="77777777" w:rsidTr="00AC5C8C">
        <w:tc>
          <w:tcPr>
            <w:tcW w:w="8500" w:type="dxa"/>
            <w:shd w:val="clear" w:color="auto" w:fill="FFFFFF" w:themeFill="background1"/>
          </w:tcPr>
          <w:p w14:paraId="5A799AA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 staff adopt a flexible approach to a range of different behaviours and pupil experiences?</w:t>
            </w:r>
          </w:p>
        </w:tc>
        <w:tc>
          <w:tcPr>
            <w:tcW w:w="742" w:type="dxa"/>
            <w:shd w:val="clear" w:color="auto" w:fill="FFFFFF" w:themeFill="background1"/>
          </w:tcPr>
          <w:p w14:paraId="062FADD4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0205F801" w14:textId="77777777" w:rsidTr="00AC5C8C">
        <w:tc>
          <w:tcPr>
            <w:tcW w:w="8500" w:type="dxa"/>
            <w:shd w:val="clear" w:color="auto" w:fill="FFFFFF" w:themeFill="background1"/>
          </w:tcPr>
          <w:p w14:paraId="3586FD37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 staff use time-out systems appropriately and effectively?</w:t>
            </w:r>
          </w:p>
        </w:tc>
        <w:tc>
          <w:tcPr>
            <w:tcW w:w="742" w:type="dxa"/>
            <w:shd w:val="clear" w:color="auto" w:fill="FFFFFF" w:themeFill="background1"/>
          </w:tcPr>
          <w:p w14:paraId="16ACE626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A7B0FC9" w14:textId="77777777" w:rsidTr="00AC5C8C">
        <w:tc>
          <w:tcPr>
            <w:tcW w:w="8500" w:type="dxa"/>
            <w:shd w:val="clear" w:color="auto" w:fill="FFFFFF" w:themeFill="background1"/>
          </w:tcPr>
          <w:p w14:paraId="3A07FAAE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 staff use choice and motivation to promote desired behaviour?</w:t>
            </w:r>
          </w:p>
        </w:tc>
        <w:tc>
          <w:tcPr>
            <w:tcW w:w="742" w:type="dxa"/>
            <w:shd w:val="clear" w:color="auto" w:fill="FFFFFF" w:themeFill="background1"/>
          </w:tcPr>
          <w:p w14:paraId="5F28C785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719C242" w14:textId="77777777" w:rsidTr="00AC5C8C">
        <w:tc>
          <w:tcPr>
            <w:tcW w:w="8500" w:type="dxa"/>
            <w:shd w:val="clear" w:color="auto" w:fill="FFFFFF" w:themeFill="background1"/>
          </w:tcPr>
          <w:p w14:paraId="1E195D06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Is there a supportive peer system in place?</w:t>
            </w:r>
          </w:p>
        </w:tc>
        <w:tc>
          <w:tcPr>
            <w:tcW w:w="742" w:type="dxa"/>
            <w:shd w:val="clear" w:color="auto" w:fill="FFFFFF" w:themeFill="background1"/>
          </w:tcPr>
          <w:p w14:paraId="4E128233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6B339204" w14:textId="77777777" w:rsidTr="00AC5C8C">
        <w:tc>
          <w:tcPr>
            <w:tcW w:w="8500" w:type="dxa"/>
            <w:shd w:val="clear" w:color="auto" w:fill="FFFFFF" w:themeFill="background1"/>
          </w:tcPr>
          <w:p w14:paraId="723E2EBF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Is there clear communication with parents/carers?</w:t>
            </w:r>
          </w:p>
          <w:p w14:paraId="56944E3F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128AA047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6AA3035" w14:textId="77777777" w:rsidTr="00AC5C8C">
        <w:tc>
          <w:tcPr>
            <w:tcW w:w="8500" w:type="dxa"/>
            <w:shd w:val="clear" w:color="auto" w:fill="FFFFFF" w:themeFill="background1"/>
          </w:tcPr>
          <w:p w14:paraId="34759592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Have key staff (including class teachers) strived to </w:t>
            </w:r>
            <w:proofErr w:type="gramStart"/>
            <w:r w:rsidRPr="00F47188">
              <w:rPr>
                <w:rFonts w:ascii="Gill Sans MT" w:hAnsi="Gill Sans MT"/>
                <w:sz w:val="24"/>
                <w:szCs w:val="24"/>
              </w:rPr>
              <w:t>establish</w:t>
            </w:r>
            <w:proofErr w:type="gramEnd"/>
            <w:r w:rsidRPr="00F47188">
              <w:rPr>
                <w:rFonts w:ascii="Gill Sans MT" w:hAnsi="Gill Sans MT"/>
                <w:sz w:val="24"/>
                <w:szCs w:val="24"/>
              </w:rPr>
              <w:t xml:space="preserve"> positive relationships based on mutual respect? </w:t>
            </w:r>
          </w:p>
        </w:tc>
        <w:tc>
          <w:tcPr>
            <w:tcW w:w="742" w:type="dxa"/>
            <w:shd w:val="clear" w:color="auto" w:fill="FFFFFF" w:themeFill="background1"/>
          </w:tcPr>
          <w:p w14:paraId="1DF7CE18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122B8C7F" w14:textId="77777777" w:rsidTr="00AC5C8C">
        <w:tc>
          <w:tcPr>
            <w:tcW w:w="8500" w:type="dxa"/>
            <w:shd w:val="clear" w:color="auto" w:fill="FFFFFF" w:themeFill="background1"/>
          </w:tcPr>
          <w:p w14:paraId="0A0831A8" w14:textId="725B000B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Have </w:t>
            </w:r>
            <w:r w:rsidR="00614EE2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key staff been appropriately supported from within school systems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mentor or SLT supervision?</w:t>
            </w:r>
          </w:p>
        </w:tc>
        <w:tc>
          <w:tcPr>
            <w:tcW w:w="742" w:type="dxa"/>
            <w:shd w:val="clear" w:color="auto" w:fill="FFFFFF" w:themeFill="background1"/>
          </w:tcPr>
          <w:p w14:paraId="7765A9AF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BB9A999" w14:textId="77777777" w:rsidR="00AC5C8C" w:rsidRPr="00F47188" w:rsidRDefault="00AC5C8C" w:rsidP="00F47188">
      <w:pPr>
        <w:spacing w:after="240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0"/>
        <w:gridCol w:w="616"/>
      </w:tblGrid>
      <w:tr w:rsidR="00AC5C8C" w:rsidRPr="00F47188" w14:paraId="19320A55" w14:textId="77777777" w:rsidTr="00AC5C8C">
        <w:tc>
          <w:tcPr>
            <w:tcW w:w="8400" w:type="dxa"/>
            <w:shd w:val="clear" w:color="auto" w:fill="548DD4" w:themeFill="text2" w:themeFillTint="99"/>
          </w:tcPr>
          <w:p w14:paraId="0CAC14A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47188">
              <w:rPr>
                <w:rFonts w:ascii="Gill Sans MT" w:hAnsi="Gill Sans MT"/>
                <w:b/>
                <w:sz w:val="24"/>
                <w:szCs w:val="24"/>
              </w:rPr>
              <w:lastRenderedPageBreak/>
              <w:t>Emotional development and mental health</w:t>
            </w:r>
          </w:p>
        </w:tc>
        <w:tc>
          <w:tcPr>
            <w:tcW w:w="616" w:type="dxa"/>
            <w:shd w:val="clear" w:color="auto" w:fill="548DD4" w:themeFill="text2" w:themeFillTint="99"/>
          </w:tcPr>
          <w:p w14:paraId="40A1C5E7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AC5C8C" w:rsidRPr="00F47188" w14:paraId="00278BA7" w14:textId="77777777" w:rsidTr="00E4107C">
        <w:tc>
          <w:tcPr>
            <w:tcW w:w="8400" w:type="dxa"/>
            <w:shd w:val="clear" w:color="auto" w:fill="FFFFFF" w:themeFill="background1"/>
          </w:tcPr>
          <w:p w14:paraId="2FC3296F" w14:textId="5FA2D99C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Is </w:t>
            </w:r>
            <w:r w:rsidR="00614EE2">
              <w:rPr>
                <w:rFonts w:ascii="Gill Sans MT" w:hAnsi="Gill Sans MT"/>
                <w:sz w:val="24"/>
                <w:szCs w:val="24"/>
              </w:rPr>
              <w:t>a suitable alternative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provision provided at trigger points?</w:t>
            </w:r>
          </w:p>
        </w:tc>
        <w:tc>
          <w:tcPr>
            <w:tcW w:w="616" w:type="dxa"/>
            <w:shd w:val="clear" w:color="auto" w:fill="FFFFFF" w:themeFill="background1"/>
          </w:tcPr>
          <w:p w14:paraId="6D1956E5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7497BEB3" w14:textId="77777777" w:rsidTr="00E4107C">
        <w:tc>
          <w:tcPr>
            <w:tcW w:w="8400" w:type="dxa"/>
            <w:shd w:val="clear" w:color="auto" w:fill="FFFFFF" w:themeFill="background1"/>
          </w:tcPr>
          <w:p w14:paraId="08252DE8" w14:textId="49B4EE39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positive behaviour management techniques consistently used across the school/setting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emphasising the 5Rs 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>(</w:t>
            </w:r>
            <w:r w:rsidRPr="00F47188">
              <w:rPr>
                <w:rFonts w:ascii="Gill Sans MT" w:hAnsi="Gill Sans MT"/>
                <w:b/>
                <w:i/>
                <w:sz w:val="24"/>
                <w:szCs w:val="24"/>
              </w:rPr>
              <w:t>r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 xml:space="preserve">elationships, </w:t>
            </w:r>
            <w:r w:rsidRPr="00F47188">
              <w:rPr>
                <w:rFonts w:ascii="Gill Sans MT" w:hAnsi="Gill Sans MT"/>
                <w:b/>
                <w:i/>
                <w:sz w:val="24"/>
                <w:szCs w:val="24"/>
              </w:rPr>
              <w:t>r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 xml:space="preserve">ights, </w:t>
            </w:r>
            <w:r w:rsidRPr="00F47188">
              <w:rPr>
                <w:rFonts w:ascii="Gill Sans MT" w:hAnsi="Gill Sans MT"/>
                <w:b/>
                <w:i/>
                <w:sz w:val="24"/>
                <w:szCs w:val="24"/>
              </w:rPr>
              <w:t>r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 xml:space="preserve">esponsibilities, </w:t>
            </w:r>
            <w:r w:rsidRPr="00F47188">
              <w:rPr>
                <w:rFonts w:ascii="Gill Sans MT" w:hAnsi="Gill Sans MT"/>
                <w:b/>
                <w:i/>
                <w:sz w:val="24"/>
                <w:szCs w:val="24"/>
              </w:rPr>
              <w:t>r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 xml:space="preserve">ules and </w:t>
            </w:r>
            <w:r w:rsidRPr="00F47188">
              <w:rPr>
                <w:rFonts w:ascii="Gill Sans MT" w:hAnsi="Gill Sans MT"/>
                <w:b/>
                <w:i/>
                <w:sz w:val="24"/>
                <w:szCs w:val="24"/>
              </w:rPr>
              <w:t>r</w:t>
            </w:r>
            <w:r w:rsidRPr="00F47188">
              <w:rPr>
                <w:rFonts w:ascii="Gill Sans MT" w:hAnsi="Gill Sans MT"/>
                <w:i/>
                <w:sz w:val="24"/>
                <w:szCs w:val="24"/>
              </w:rPr>
              <w:t>outines),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using the language of choice, broken record technique, volume matching and emphasising the positive?</w:t>
            </w:r>
          </w:p>
        </w:tc>
        <w:tc>
          <w:tcPr>
            <w:tcW w:w="616" w:type="dxa"/>
            <w:shd w:val="clear" w:color="auto" w:fill="FFFFFF" w:themeFill="background1"/>
          </w:tcPr>
          <w:p w14:paraId="155EE584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4A38E51" w14:textId="77777777" w:rsidTr="00E4107C">
        <w:tc>
          <w:tcPr>
            <w:tcW w:w="8400" w:type="dxa"/>
            <w:shd w:val="clear" w:color="auto" w:fill="FFFFFF" w:themeFill="background1"/>
          </w:tcPr>
          <w:p w14:paraId="7C7BCE19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Do staff implement a meaningful system of rewards and sanctions?</w:t>
            </w:r>
          </w:p>
        </w:tc>
        <w:tc>
          <w:tcPr>
            <w:tcW w:w="616" w:type="dxa"/>
            <w:shd w:val="clear" w:color="auto" w:fill="FFFFFF" w:themeFill="background1"/>
          </w:tcPr>
          <w:p w14:paraId="349EA16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E912847" w14:textId="77777777" w:rsidTr="00E4107C">
        <w:tc>
          <w:tcPr>
            <w:tcW w:w="8400" w:type="dxa"/>
            <w:shd w:val="clear" w:color="auto" w:fill="FFFFFF" w:themeFill="background1"/>
          </w:tcPr>
          <w:p w14:paraId="51978A59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Are parents/carers actively involved, with access to a parent support advisor?</w:t>
            </w:r>
          </w:p>
        </w:tc>
        <w:tc>
          <w:tcPr>
            <w:tcW w:w="616" w:type="dxa"/>
            <w:shd w:val="clear" w:color="auto" w:fill="FFFFFF" w:themeFill="background1"/>
          </w:tcPr>
          <w:p w14:paraId="3DA358C4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6B842117" w14:textId="77777777" w:rsidTr="00E4107C">
        <w:tc>
          <w:tcPr>
            <w:tcW w:w="8400" w:type="dxa"/>
            <w:shd w:val="clear" w:color="auto" w:fill="FFFFFF" w:themeFill="background1"/>
          </w:tcPr>
          <w:p w14:paraId="61C2F3CC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Is a buddy /peer support/play leader system in place at break and lunch times?</w:t>
            </w:r>
          </w:p>
        </w:tc>
        <w:tc>
          <w:tcPr>
            <w:tcW w:w="616" w:type="dxa"/>
            <w:shd w:val="clear" w:color="auto" w:fill="FFFFFF" w:themeFill="background1"/>
          </w:tcPr>
          <w:p w14:paraId="0F0FC84E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E1AAFFD" w14:textId="77777777" w:rsidTr="00E4107C">
        <w:tc>
          <w:tcPr>
            <w:tcW w:w="8400" w:type="dxa"/>
            <w:shd w:val="clear" w:color="auto" w:fill="FFFFFF" w:themeFill="background1"/>
          </w:tcPr>
          <w:p w14:paraId="46F65781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Have </w:t>
            </w:r>
            <w:proofErr w:type="gramStart"/>
            <w:r w:rsidRPr="00F47188">
              <w:rPr>
                <w:rFonts w:ascii="Gill Sans MT" w:hAnsi="Gill Sans MT"/>
                <w:sz w:val="24"/>
                <w:szCs w:val="24"/>
              </w:rPr>
              <w:t>appropriate anger</w:t>
            </w:r>
            <w:proofErr w:type="gramEnd"/>
            <w:r w:rsidRPr="00F47188">
              <w:rPr>
                <w:rFonts w:ascii="Gill Sans MT" w:hAnsi="Gill Sans MT"/>
                <w:sz w:val="24"/>
                <w:szCs w:val="24"/>
              </w:rPr>
              <w:t xml:space="preserve"> management techniques been taught and is their implementation supported? </w:t>
            </w:r>
          </w:p>
        </w:tc>
        <w:tc>
          <w:tcPr>
            <w:tcW w:w="616" w:type="dxa"/>
            <w:shd w:val="clear" w:color="auto" w:fill="FFFFFF" w:themeFill="background1"/>
          </w:tcPr>
          <w:p w14:paraId="7387DC48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D34DDF1" w14:textId="77777777" w:rsidTr="00E4107C">
        <w:tc>
          <w:tcPr>
            <w:tcW w:w="8400" w:type="dxa"/>
            <w:shd w:val="clear" w:color="auto" w:fill="FFFFFF" w:themeFill="background1"/>
          </w:tcPr>
          <w:p w14:paraId="20DE643D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Are time-out systems in place within the classroom and are they used effectively?</w:t>
            </w:r>
          </w:p>
        </w:tc>
        <w:tc>
          <w:tcPr>
            <w:tcW w:w="616" w:type="dxa"/>
            <w:shd w:val="clear" w:color="auto" w:fill="FFFFFF" w:themeFill="background1"/>
          </w:tcPr>
          <w:p w14:paraId="0EB83E26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314E4FEB" w14:textId="77777777" w:rsidTr="00E4107C">
        <w:tc>
          <w:tcPr>
            <w:tcW w:w="8400" w:type="dxa"/>
            <w:shd w:val="clear" w:color="auto" w:fill="FFFFFF" w:themeFill="background1"/>
          </w:tcPr>
          <w:p w14:paraId="003351DA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Is whole class assessment used to </w:t>
            </w:r>
            <w:proofErr w:type="gramStart"/>
            <w:r w:rsidRPr="00F47188">
              <w:rPr>
                <w:rFonts w:ascii="Gill Sans MT" w:hAnsi="Gill Sans MT"/>
                <w:sz w:val="24"/>
                <w:szCs w:val="24"/>
              </w:rPr>
              <w:t>identify</w:t>
            </w:r>
            <w:proofErr w:type="gramEnd"/>
            <w:r w:rsidRPr="00F47188">
              <w:rPr>
                <w:rFonts w:ascii="Gill Sans MT" w:hAnsi="Gill Sans MT"/>
                <w:sz w:val="24"/>
                <w:szCs w:val="24"/>
              </w:rPr>
              <w:t xml:space="preserve"> and plan to meet group developmental needs?</w:t>
            </w:r>
          </w:p>
        </w:tc>
        <w:tc>
          <w:tcPr>
            <w:tcW w:w="616" w:type="dxa"/>
            <w:shd w:val="clear" w:color="auto" w:fill="FFFFFF" w:themeFill="background1"/>
          </w:tcPr>
          <w:p w14:paraId="4BD7CFDE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71F251CA" w14:textId="77777777" w:rsidTr="00E4107C">
        <w:tc>
          <w:tcPr>
            <w:tcW w:w="8400" w:type="dxa"/>
            <w:shd w:val="clear" w:color="auto" w:fill="FFFFFF" w:themeFill="background1"/>
          </w:tcPr>
          <w:p w14:paraId="245CAB30" w14:textId="2105DB3E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 xml:space="preserve">Are self-regulation techniques taught and is their implementation supported </w:t>
            </w:r>
            <w:r w:rsidR="00614EE2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F47188">
              <w:rPr>
                <w:rFonts w:ascii="Gill Sans MT" w:hAnsi="Gill Sans MT"/>
                <w:sz w:val="24"/>
                <w:szCs w:val="24"/>
              </w:rPr>
              <w:t xml:space="preserve"> calming strategies?</w:t>
            </w:r>
          </w:p>
        </w:tc>
        <w:tc>
          <w:tcPr>
            <w:tcW w:w="616" w:type="dxa"/>
            <w:shd w:val="clear" w:color="auto" w:fill="FFFFFF" w:themeFill="background1"/>
          </w:tcPr>
          <w:p w14:paraId="1220087D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5C8C" w:rsidRPr="00F47188" w14:paraId="44A3B810" w14:textId="77777777" w:rsidTr="00E4107C">
        <w:tc>
          <w:tcPr>
            <w:tcW w:w="8400" w:type="dxa"/>
            <w:shd w:val="clear" w:color="auto" w:fill="FFFFFF" w:themeFill="background1"/>
          </w:tcPr>
          <w:p w14:paraId="78389CEE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F47188">
              <w:rPr>
                <w:rFonts w:ascii="Gill Sans MT" w:hAnsi="Gill Sans MT"/>
                <w:sz w:val="24"/>
                <w:szCs w:val="24"/>
              </w:rPr>
              <w:t>Support with study skills and managing anxiety around formal assessments</w:t>
            </w:r>
          </w:p>
        </w:tc>
        <w:tc>
          <w:tcPr>
            <w:tcW w:w="616" w:type="dxa"/>
            <w:shd w:val="clear" w:color="auto" w:fill="FFFFFF" w:themeFill="background1"/>
          </w:tcPr>
          <w:p w14:paraId="2EE93BB1" w14:textId="77777777" w:rsidR="00AC5C8C" w:rsidRPr="00F47188" w:rsidRDefault="00AC5C8C" w:rsidP="00F47188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7D91195" w14:textId="77777777" w:rsidR="00AC5C8C" w:rsidRPr="00F47188" w:rsidRDefault="00AC5C8C" w:rsidP="00F47188">
      <w:pPr>
        <w:spacing w:after="240"/>
        <w:jc w:val="center"/>
        <w:rPr>
          <w:rFonts w:ascii="Gill Sans MT" w:hAnsi="Gill Sans MT"/>
          <w:b/>
          <w:sz w:val="24"/>
          <w:szCs w:val="24"/>
        </w:rPr>
      </w:pPr>
    </w:p>
    <w:p w14:paraId="3D845DD1" w14:textId="77777777" w:rsidR="00AC5C8C" w:rsidRPr="00F47188" w:rsidRDefault="00AC5C8C" w:rsidP="00F47188">
      <w:pPr>
        <w:spacing w:after="240"/>
        <w:rPr>
          <w:rStyle w:val="Hyperlink"/>
          <w:rFonts w:ascii="Gill Sans MT" w:hAnsi="Gill Sans MT"/>
          <w:sz w:val="24"/>
          <w:szCs w:val="24"/>
        </w:rPr>
      </w:pPr>
      <w:r w:rsidRPr="00F47188">
        <w:rPr>
          <w:rFonts w:ascii="Gill Sans MT" w:hAnsi="Gill Sans MT"/>
          <w:sz w:val="24"/>
          <w:szCs w:val="24"/>
        </w:rPr>
        <w:t xml:space="preserve">For further specific resources and guidance please refer to the </w:t>
      </w:r>
      <w:hyperlink r:id="rId7" w:history="1">
        <w:r w:rsidRPr="00F47188">
          <w:rPr>
            <w:rStyle w:val="Hyperlink"/>
            <w:rFonts w:ascii="Gill Sans MT" w:hAnsi="Gill Sans MT"/>
            <w:color w:val="548DD4" w:themeColor="text2" w:themeTint="99"/>
            <w:sz w:val="24"/>
            <w:szCs w:val="24"/>
          </w:rPr>
          <w:t>SENCO Guide</w:t>
        </w:r>
      </w:hyperlink>
    </w:p>
    <w:p w14:paraId="1A0FE8DB" w14:textId="77777777" w:rsidR="00BB10F4" w:rsidRPr="00F47188" w:rsidRDefault="00BB10F4" w:rsidP="00F47188">
      <w:pPr>
        <w:spacing w:after="240"/>
        <w:rPr>
          <w:rFonts w:ascii="Gill Sans MT" w:hAnsi="Gill Sans MT"/>
          <w:sz w:val="24"/>
          <w:szCs w:val="24"/>
        </w:rPr>
      </w:pPr>
    </w:p>
    <w:sectPr w:rsidR="00BB10F4" w:rsidRPr="00F47188" w:rsidSect="00AC5C8C">
      <w:pgSz w:w="11907" w:h="16839" w:code="9"/>
      <w:pgMar w:top="1440" w:right="113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D6ED" w14:textId="77777777" w:rsidR="004B0567" w:rsidRDefault="004B0567" w:rsidP="00AC5C8C">
      <w:pPr>
        <w:spacing w:after="0" w:line="240" w:lineRule="auto"/>
      </w:pPr>
      <w:r>
        <w:separator/>
      </w:r>
    </w:p>
  </w:endnote>
  <w:endnote w:type="continuationSeparator" w:id="0">
    <w:p w14:paraId="72C9F0F2" w14:textId="77777777" w:rsidR="004B0567" w:rsidRDefault="004B0567" w:rsidP="00AC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DE2C" w14:textId="77777777" w:rsidR="004B0567" w:rsidRDefault="004B0567" w:rsidP="00AC5C8C">
      <w:pPr>
        <w:spacing w:after="0" w:line="240" w:lineRule="auto"/>
      </w:pPr>
      <w:r>
        <w:separator/>
      </w:r>
    </w:p>
  </w:footnote>
  <w:footnote w:type="continuationSeparator" w:id="0">
    <w:p w14:paraId="444B6F22" w14:textId="77777777" w:rsidR="004B0567" w:rsidRDefault="004B0567" w:rsidP="00AC5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bUwtjAxNze3MDBV0lEKTi0uzszPAykwqgUAjxX9dSwAAAA="/>
  </w:docVars>
  <w:rsids>
    <w:rsidRoot w:val="00AC5C8C"/>
    <w:rsid w:val="000C03E3"/>
    <w:rsid w:val="002C0481"/>
    <w:rsid w:val="004A2A4B"/>
    <w:rsid w:val="004B0567"/>
    <w:rsid w:val="004F7C58"/>
    <w:rsid w:val="00566BD2"/>
    <w:rsid w:val="00614EE2"/>
    <w:rsid w:val="00856345"/>
    <w:rsid w:val="00900840"/>
    <w:rsid w:val="009269FD"/>
    <w:rsid w:val="009C7709"/>
    <w:rsid w:val="00AC5C8C"/>
    <w:rsid w:val="00BB10F4"/>
    <w:rsid w:val="00BD3D6B"/>
    <w:rsid w:val="00E46B89"/>
    <w:rsid w:val="00ED1157"/>
    <w:rsid w:val="00F42BA1"/>
    <w:rsid w:val="00F47188"/>
    <w:rsid w:val="00F56C0A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01723"/>
  <w15:chartTrackingRefBased/>
  <w15:docId w15:val="{A81CEC9D-F4E7-49E5-A1E9-828063A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C8C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C8C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8C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AC5C8C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5C8C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5C8C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Universal Provision Checklist:</vt:lpstr>
      <vt:lpstr>Social, emotional &amp; mental health</vt:lpstr>
    </vt:vector>
  </TitlesOfParts>
  <Company>Delt Shared Services Ltd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5</cp:revision>
  <dcterms:created xsi:type="dcterms:W3CDTF">2022-07-08T11:42:00Z</dcterms:created>
  <dcterms:modified xsi:type="dcterms:W3CDTF">2022-07-12T09:55:00Z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2022-05-12T14:01:34Z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c2685f87-a36f-4c84-bcbf-0000b9421c21</vt:lpwstr>
  </property>
  <property fmtid="{D5CDD505-2E9C-101B-9397-08002B2CF9AE}" pid="8" name="MSIP_Label_d57318c2-6b86-43df-b189-c92fcad1cee5_ContentBits">
    <vt:lpwstr>1</vt:lpwstr>
  </property>
</Properties>
</file>